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375"/>
          <w:tab w:val="center" w:leader="none" w:pos="5760"/>
        </w:tabs>
        <w:rPr>
          <w:color w:val="001a35"/>
        </w:rPr>
        <w:sectPr>
          <w:headerReference r:id="rId7" w:type="default"/>
          <w:footerReference r:id="rId8" w:type="default"/>
          <w:pgSz w:h="15840" w:w="12240" w:orient="portrait"/>
          <w:pgMar w:bottom="806" w:top="360" w:left="360" w:right="360" w:header="720" w:footer="720"/>
          <w:pgNumType w:start="1"/>
        </w:sectPr>
      </w:pPr>
      <w:r w:rsidDel="00000000" w:rsidR="00000000" w:rsidRPr="00000000">
        <w:rPr>
          <w:rtl w:val="0"/>
        </w:rPr>
      </w:r>
    </w:p>
    <w:p w:rsidR="00000000" w:rsidDel="00000000" w:rsidP="00000000" w:rsidRDefault="00000000" w:rsidRPr="00000000" w14:paraId="00000002">
      <w:pPr>
        <w:tabs>
          <w:tab w:val="left" w:leader="none" w:pos="5375"/>
          <w:tab w:val="center" w:leader="none" w:pos="5760"/>
        </w:tabs>
        <w:rPr>
          <w:color w:val="001a35"/>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us Jakarta Sans ExtraBold" w:cs="Plus Jakarta Sans ExtraBold" w:eastAsia="Plus Jakarta Sans ExtraBold" w:hAnsi="Plus Jakarta Sans ExtraBold"/>
          <w:b w:val="1"/>
          <w:i w:val="0"/>
          <w:smallCaps w:val="0"/>
          <w:strike w:val="0"/>
          <w:color w:val="5899af"/>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5899af"/>
          <w:sz w:val="22"/>
          <w:szCs w:val="22"/>
          <w:u w:val="none"/>
          <w:vertAlign w:val="baseline"/>
          <w:rtl w:val="0"/>
        </w:rPr>
        <w:br w:type="textWrapp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us Jakarta Sans ExtraBold" w:cs="Plus Jakarta Sans ExtraBold" w:eastAsia="Plus Jakarta Sans ExtraBold" w:hAnsi="Plus Jakarta Sans ExtraBold"/>
          <w:b w:val="1"/>
          <w:i w:val="0"/>
          <w:smallCaps w:val="0"/>
          <w:strike w:val="0"/>
          <w:color w:val="5899af"/>
          <w:sz w:val="22"/>
          <w:szCs w:val="22"/>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us Jakarta Sans ExtraBold" w:cs="Plus Jakarta Sans ExtraBold" w:eastAsia="Plus Jakarta Sans ExtraBold" w:hAnsi="Plus Jakarta Sans ExtraBold"/>
          <w:b w:val="1"/>
          <w:i w:val="0"/>
          <w:smallCaps w:val="0"/>
          <w:strike w:val="0"/>
          <w:color w:val="5899af"/>
          <w:sz w:val="22"/>
          <w:szCs w:val="22"/>
          <w:u w:val="none"/>
          <w:vertAlign w:val="baseline"/>
        </w:rPr>
      </w:pPr>
      <w:r w:rsidDel="00000000" w:rsidR="00000000" w:rsidRPr="00000000">
        <w:rPr>
          <w:rFonts w:ascii="Plus Jakarta Sans ExtraBold" w:cs="Plus Jakarta Sans ExtraBold" w:eastAsia="Plus Jakarta Sans ExtraBold" w:hAnsi="Plus Jakarta Sans ExtraBold"/>
          <w:b w:val="1"/>
          <w:i w:val="0"/>
          <w:smallCaps w:val="0"/>
          <w:strike w:val="0"/>
          <w:color w:val="5899af"/>
          <w:sz w:val="22"/>
          <w:szCs w:val="22"/>
          <w:u w:val="none"/>
          <w:vertAlign w:val="baseline"/>
          <w:rtl w:val="0"/>
        </w:rPr>
        <w:t xml:space="preserve">FREQUENTLY ASKED QUESTIONS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1a35"/>
          <w:sz w:val="2"/>
          <w:szCs w:val="2"/>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us Jakarta Sans" w:cs="Plus Jakarta Sans" w:eastAsia="Plus Jakarta Sans" w:hAnsi="Plus Jakarta Sans"/>
          <w:b w:val="0"/>
          <w:i w:val="0"/>
          <w:smallCaps w:val="0"/>
          <w:strike w:val="0"/>
          <w:color w:val="001a35"/>
          <w:sz w:val="22"/>
          <w:szCs w:val="22"/>
          <w:u w:val="none"/>
          <w:vertAlign w:val="baseline"/>
        </w:rPr>
      </w:pPr>
      <w:r w:rsidDel="00000000" w:rsidR="00000000" w:rsidRPr="00000000">
        <w:rPr>
          <w:rFonts w:ascii="Plus Jakarta Sans ExtraLight" w:cs="Plus Jakarta Sans ExtraLight" w:eastAsia="Plus Jakarta Sans ExtraLight" w:hAnsi="Plus Jakarta Sans ExtraLight"/>
          <w:b w:val="0"/>
          <w:i w:val="0"/>
          <w:smallCaps w:val="0"/>
          <w:strike w:val="0"/>
          <w:color w:val="001a35"/>
          <w:sz w:val="68"/>
          <w:szCs w:val="68"/>
          <w:u w:val="none"/>
          <w:vertAlign w:val="baseline"/>
          <w:rtl w:val="0"/>
        </w:rPr>
        <w:t xml:space="preserve">Provider: Prior to enrollment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us Jakarta Sans" w:cs="Plus Jakarta Sans" w:eastAsia="Plus Jakarta Sans" w:hAnsi="Plus Jakarta Sans"/>
          <w:b w:val="1"/>
          <w:i w:val="0"/>
          <w:smallCaps w:val="0"/>
          <w:strike w:val="0"/>
          <w:color w:val="001a35"/>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br w:type="textWrapping"/>
      </w:r>
      <w:r w:rsidDel="00000000" w:rsidR="00000000" w:rsidRPr="00000000">
        <w:rPr>
          <w:rFonts w:ascii="Plus Jakarta Sans" w:cs="Plus Jakarta Sans" w:eastAsia="Plus Jakarta Sans" w:hAnsi="Plus Jakarta Sans"/>
          <w:b w:val="1"/>
          <w:i w:val="0"/>
          <w:smallCaps w:val="0"/>
          <w:strike w:val="0"/>
          <w:color w:val="001a35"/>
          <w:sz w:val="28"/>
          <w:szCs w:val="28"/>
          <w:u w:val="none"/>
          <w:vertAlign w:val="baseline"/>
          <w:rtl w:val="0"/>
        </w:rPr>
        <w:t xml:space="preserve">Contract questions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How quickly can my organization join Synapse Health’s DME network?</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After The DME provider completed the required paperwork, the enrollment process, including credentialing, contracting, and onboarding for DME providers, typically takes around 45 days.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incentives are offered for joining Synapse Health's DME network?</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Synapse Health alleviates the administrative burdens that typically affect DME providers. Specifically, we handle crucial tasks such as patient eligibility and benefit verification, prior authorization, patient coordination, payment collection, claim submission and denials, health plan audits, and patient acquisition/referral efforts. This approach enables DME providers to concentrate their efforts on delivering high-quality products and services to their patients.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happens if my organization opts not to join Synapse Health's DME network?</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Synapse Health will take over the management of DME services for </w:t>
      </w:r>
      <w:r w:rsidDel="00000000" w:rsidR="00000000" w:rsidRPr="00000000">
        <w:rPr>
          <w:rFonts w:ascii="Plus Jakarta Sans" w:cs="Plus Jakarta Sans" w:eastAsia="Plus Jakarta Sans" w:hAnsi="Plus Jakarta Sans"/>
          <w:i w:val="1"/>
          <w:color w:val="001a35"/>
          <w:sz w:val="22"/>
          <w:szCs w:val="22"/>
          <w:rtl w:val="0"/>
        </w:rPr>
        <w:t xml:space="preserve">UnitedHealthcare </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patients starting</w:t>
      </w:r>
      <w:r w:rsidDel="00000000" w:rsidR="00000000" w:rsidRPr="00000000">
        <w:rPr>
          <w:rFonts w:ascii="Plus Jakarta Sans" w:cs="Plus Jakarta Sans" w:eastAsia="Plus Jakarta Sans" w:hAnsi="Plus Jakarta Sans"/>
          <w:i w:val="1"/>
          <w:color w:val="001a35"/>
          <w:sz w:val="22"/>
          <w:szCs w:val="22"/>
          <w:rtl w:val="0"/>
        </w:rPr>
        <w:t xml:space="preserve"> August 1, 2024</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If your organization chooses not to contract with Synapse Health, it will be unable to offer services to these patients.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59" w:lineRule="auto"/>
        <w:ind w:left="0" w:right="0" w:firstLine="0"/>
        <w:jc w:val="left"/>
        <w:rPr>
          <w:rFonts w:ascii="Plus Jakarta Sans" w:cs="Plus Jakarta Sans" w:eastAsia="Plus Jakarta Sans" w:hAnsi="Plus Jakarta Sans"/>
          <w:b w:val="1"/>
          <w:i w:val="0"/>
          <w:smallCaps w:val="0"/>
          <w:strike w:val="0"/>
          <w:color w:val="001a35"/>
          <w:sz w:val="28"/>
          <w:szCs w:val="28"/>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8"/>
          <w:szCs w:val="28"/>
          <w:u w:val="none"/>
          <w:vertAlign w:val="baseline"/>
          <w:rtl w:val="0"/>
        </w:rPr>
        <w:t xml:space="preserve">Billing questions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Can I continue to bill </w:t>
      </w:r>
      <w:r w:rsidDel="00000000" w:rsidR="00000000" w:rsidRPr="00000000">
        <w:rPr>
          <w:rFonts w:ascii="Plus Jakarta Sans" w:cs="Plus Jakarta Sans" w:eastAsia="Plus Jakarta Sans" w:hAnsi="Plus Jakarta Sans"/>
          <w:b w:val="1"/>
          <w:color w:val="001a35"/>
          <w:sz w:val="22"/>
          <w:szCs w:val="22"/>
          <w:rtl w:val="0"/>
        </w:rPr>
        <w:t xml:space="preserve">UnitedHealthcare</w:t>
      </w:r>
      <w:r w:rsidDel="00000000" w:rsidR="00000000" w:rsidRPr="00000000">
        <w:rPr>
          <w:rFonts w:ascii="Plus Jakarta Sans" w:cs="Plus Jakarta Sans" w:eastAsia="Plus Jakarta Sans" w:hAnsi="Plus Jakarta Sans"/>
          <w:b w:val="1"/>
          <w:i w:val="1"/>
          <w:smallCaps w:val="0"/>
          <w:strike w:val="0"/>
          <w:color w:val="001a35"/>
          <w:sz w:val="22"/>
          <w:szCs w:val="22"/>
          <w:u w:val="none"/>
          <w:vertAlign w:val="baseline"/>
          <w:rtl w:val="0"/>
        </w:rPr>
        <w:t xml:space="preserve"> </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for services rendered on or before </w:t>
      </w:r>
      <w:r w:rsidDel="00000000" w:rsidR="00000000" w:rsidRPr="00000000">
        <w:rPr>
          <w:rFonts w:ascii="Plus Jakarta Sans" w:cs="Plus Jakarta Sans" w:eastAsia="Plus Jakarta Sans" w:hAnsi="Plus Jakarta Sans"/>
          <w:b w:val="1"/>
          <w:color w:val="001a35"/>
          <w:sz w:val="22"/>
          <w:szCs w:val="22"/>
          <w:rtl w:val="0"/>
        </w:rPr>
        <w:t xml:space="preserve">August 1, 2024?</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Yes, you can continue billing </w:t>
      </w:r>
      <w:r w:rsidDel="00000000" w:rsidR="00000000" w:rsidRPr="00000000">
        <w:rPr>
          <w:rFonts w:ascii="Plus Jakarta Sans" w:cs="Plus Jakarta Sans" w:eastAsia="Plus Jakarta Sans" w:hAnsi="Plus Jakarta Sans"/>
          <w:i w:val="1"/>
          <w:color w:val="001a35"/>
          <w:sz w:val="22"/>
          <w:szCs w:val="22"/>
          <w:rtl w:val="0"/>
        </w:rPr>
        <w:t xml:space="preserve">UnitedHealthcare </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for services rendered on or before </w:t>
      </w:r>
      <w:r w:rsidDel="00000000" w:rsidR="00000000" w:rsidRPr="00000000">
        <w:rPr>
          <w:rFonts w:ascii="Plus Jakarta Sans" w:cs="Plus Jakarta Sans" w:eastAsia="Plus Jakarta Sans" w:hAnsi="Plus Jakarta Sans"/>
          <w:i w:val="1"/>
          <w:color w:val="001a35"/>
          <w:sz w:val="22"/>
          <w:szCs w:val="22"/>
          <w:rtl w:val="0"/>
        </w:rPr>
        <w:t xml:space="preserve">August 1, 2024</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However, claims with a date of service on or after</w:t>
      </w:r>
      <w:r w:rsidDel="00000000" w:rsidR="00000000" w:rsidRPr="00000000">
        <w:rPr>
          <w:rFonts w:ascii="Plus Jakarta Sans" w:cs="Plus Jakarta Sans" w:eastAsia="Plus Jakarta Sans" w:hAnsi="Plus Jakarta Sans"/>
          <w:i w:val="1"/>
          <w:color w:val="001a35"/>
          <w:sz w:val="22"/>
          <w:szCs w:val="22"/>
          <w:rtl w:val="0"/>
        </w:rPr>
        <w:t xml:space="preserve"> August 1, 2024</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will be denied by </w:t>
      </w:r>
      <w:r w:rsidDel="00000000" w:rsidR="00000000" w:rsidRPr="00000000">
        <w:rPr>
          <w:rFonts w:ascii="Plus Jakarta Sans" w:cs="Plus Jakarta Sans" w:eastAsia="Plus Jakarta Sans" w:hAnsi="Plus Jakarta Sans"/>
          <w:i w:val="1"/>
          <w:color w:val="001a35"/>
          <w:sz w:val="22"/>
          <w:szCs w:val="22"/>
          <w:rtl w:val="0"/>
        </w:rPr>
        <w:t xml:space="preserve">UnitedHealthcare.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Does my organization submit claims to Synapse Health for DME services? </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Synapse Health's subcontracted DME providers are not required to submit claims to Synapse Health. Payments for completed/delivered orders are directly issued to subcontracted providers, in accordance with a pre-established fee schedule with Synapse Health. Consequently, DME Providers are relieved from the responsibility of managing timely filing timelines and addressing denied and rejected claims.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Does Synapse Health reclaim payments from a DME provider if they are unable to bill </w:t>
      </w:r>
      <w:r w:rsidDel="00000000" w:rsidR="00000000" w:rsidRPr="00000000">
        <w:rPr>
          <w:rFonts w:ascii="Plus Jakarta Sans" w:cs="Plus Jakarta Sans" w:eastAsia="Plus Jakarta Sans" w:hAnsi="Plus Jakarta Sans"/>
          <w:b w:val="1"/>
          <w:color w:val="001a35"/>
          <w:sz w:val="22"/>
          <w:szCs w:val="22"/>
          <w:rtl w:val="0"/>
        </w:rPr>
        <w:t xml:space="preserve">UnitedHealthcare</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for a delivered order?</w:t>
        <w:br w:type="textWrapping"/>
      </w:r>
      <w:r w:rsidDel="00000000" w:rsidR="00000000" w:rsidRPr="00000000">
        <w:rPr>
          <w:rFonts w:ascii="Plus Jakarta Sans" w:cs="Plus Jakarta Sans" w:eastAsia="Plus Jakarta Sans" w:hAnsi="Plus Jakarta Sans"/>
          <w:b w:val="0"/>
          <w:i w:val="0"/>
          <w:smallCaps w:val="0"/>
          <w:strike w:val="0"/>
          <w:color w:val="001a35"/>
          <w:sz w:val="22"/>
          <w:szCs w:val="22"/>
          <w:u w:val="none"/>
          <w:vertAlign w:val="baseline"/>
          <w:rtl w:val="0"/>
        </w:rPr>
        <w:t xml:space="preserve">Even if Synapse Health cannot bill for the order, the payment for the order will still be made to the subcontractor. When an order is fulfilled by a subcontractor, it is both claims and risk-free. Although the subcontractor might receive a pickup ticket in future, the DME provider will still receive payment for the services/products rendered.</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8"/>
          <w:szCs w:val="28"/>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8"/>
          <w:szCs w:val="28"/>
          <w:u w:val="none"/>
          <w:vertAlign w:val="baseline"/>
          <w:rtl w:val="0"/>
        </w:rPr>
        <w:t xml:space="preserve">Patient questions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is the process for</w:t>
      </w:r>
      <w:r w:rsidDel="00000000" w:rsidR="00000000" w:rsidRPr="00000000">
        <w:rPr>
          <w:rFonts w:ascii="Plus Jakarta Sans" w:cs="Plus Jakarta Sans" w:eastAsia="Plus Jakarta Sans" w:hAnsi="Plus Jakarta Sans"/>
          <w:b w:val="1"/>
          <w:color w:val="001a35"/>
          <w:sz w:val="22"/>
          <w:szCs w:val="22"/>
          <w:rtl w:val="0"/>
        </w:rPr>
        <w:t xml:space="preserve"> UnitedHealthcare</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patients with current rentals after the agreement between my organization and Synapse Health is signed?</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After signing the agreement, DME providers must submit an active patient list, along with supporting documentation to validate the ongoing need for patient equipment and supplies, to Synapse Health as outlined in the agreement. Following this, the patients will transition to Synapse Health's care, and your organization will be reimbursed for active rentals in accordance with the agreed fee schedule.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How will Synapse Health handle my existing patients with ongoing resupply needs?</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As part of the patient transfer process, we will identify those patients who require resupplies. Once Synapse Health has obtained all the necessary documentation to appropriately dispense, your organization will be utilized as the subcontracted provider to ensure continuity of care.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Will my existing </w:t>
      </w:r>
      <w:r w:rsidDel="00000000" w:rsidR="00000000" w:rsidRPr="00000000">
        <w:rPr>
          <w:rFonts w:ascii="Plus Jakarta Sans" w:cs="Plus Jakarta Sans" w:eastAsia="Plus Jakarta Sans" w:hAnsi="Plus Jakarta Sans"/>
          <w:b w:val="1"/>
          <w:color w:val="001a35"/>
          <w:sz w:val="22"/>
          <w:szCs w:val="22"/>
          <w:rtl w:val="0"/>
        </w:rPr>
        <w:t xml:space="preserve">UnitedHealthcare </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patients be transferred to Synapse Health?</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Yes, all active patients and accompanying documentation must be transferred to Synapse Health within 90 days of the contract execution between your organization and Synapse Health.</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Do I need to collect the patient's financial obligations, such as co-payment or co-insurance?</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No, starting </w:t>
      </w:r>
      <w:r w:rsidDel="00000000" w:rsidR="00000000" w:rsidRPr="00000000">
        <w:rPr>
          <w:rFonts w:ascii="Plus Jakarta Sans" w:cs="Plus Jakarta Sans" w:eastAsia="Plus Jakarta Sans" w:hAnsi="Plus Jakarta Sans"/>
          <w:i w:val="1"/>
          <w:color w:val="001a35"/>
          <w:sz w:val="22"/>
          <w:szCs w:val="22"/>
          <w:rtl w:val="0"/>
        </w:rPr>
        <w:t xml:space="preserve">August 1, 2024</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you are not required to collect any funds from</w:t>
      </w:r>
      <w:r w:rsidDel="00000000" w:rsidR="00000000" w:rsidRPr="00000000">
        <w:rPr>
          <w:rFonts w:ascii="Plus Jakarta Sans" w:cs="Plus Jakarta Sans" w:eastAsia="Plus Jakarta Sans" w:hAnsi="Plus Jakarta Sans"/>
          <w:i w:val="1"/>
          <w:color w:val="001a35"/>
          <w:sz w:val="22"/>
          <w:szCs w:val="22"/>
          <w:rtl w:val="0"/>
        </w:rPr>
        <w:t xml:space="preserve"> UnitedHealthcare </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patients. Synapse Health will be responsible for managing the financial requirements for DME patients.</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How is the coordination of deliveries handled for patients?</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Synapse Health manages all patient-related activities, including the scheduling of DME deliveries. The orders your organization receives from Synapse Health will include the required delivery date/time and any instructions.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should be done if a patient contacts my organization for additional products or a repair?</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In such cases, your organization should instruct the patient to call 1.888.33.MyDME (888.336.9363). All delivery paperwork given to the patient will clearly identify Synapse Health as the DME provider. Moreover, Synapse Health will provide stickers to your organization for placement on the equipment, ensuring that the patient contacts the correct DME provider.</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8"/>
          <w:szCs w:val="28"/>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8"/>
          <w:szCs w:val="28"/>
          <w:u w:val="none"/>
          <w:vertAlign w:val="baseline"/>
          <w:rtl w:val="0"/>
        </w:rPr>
        <w:t xml:space="preserve">Referral/order questions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bookmarkStart w:colFirst="0" w:colLast="0" w:name="_heading=h.gjdgxs" w:id="0"/>
      <w:bookmarkEnd w:id="0"/>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steps should my organization take if we receive a referral from a prescriber before </w:t>
      </w:r>
      <w:r w:rsidDel="00000000" w:rsidR="00000000" w:rsidRPr="00000000">
        <w:rPr>
          <w:rFonts w:ascii="Plus Jakarta Sans" w:cs="Plus Jakarta Sans" w:eastAsia="Plus Jakarta Sans" w:hAnsi="Plus Jakarta Sans"/>
          <w:b w:val="1"/>
          <w:color w:val="001a35"/>
          <w:sz w:val="22"/>
          <w:szCs w:val="22"/>
          <w:rtl w:val="0"/>
        </w:rPr>
        <w:t xml:space="preserve">August 1, 2024</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Once your organization is Onboarded (has user profiles and has been trained to use the Fulfill portal), your organization will fax the referral/order, and any additional documentation, to Synapse Health. Synapse Health will record your organization as the rendering DME provider for the order. After the order is qualified, your organization will be notified through the standard process within the Fulfill platform.</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What steps should my organization take if we receive a referral from a prescriber after</w:t>
      </w:r>
      <w:r w:rsidDel="00000000" w:rsidR="00000000" w:rsidRPr="00000000">
        <w:rPr>
          <w:rFonts w:ascii="Plus Jakarta Sans" w:cs="Plus Jakarta Sans" w:eastAsia="Plus Jakarta Sans" w:hAnsi="Plus Jakarta Sans"/>
          <w:b w:val="1"/>
          <w:color w:val="001a35"/>
          <w:sz w:val="22"/>
          <w:szCs w:val="22"/>
          <w:rtl w:val="0"/>
        </w:rPr>
        <w:t xml:space="preserve"> August 1, 2024</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Your organization should fax the referral/order, along with any additional documentation, to Synapse Health. Synapse Health will then designate your organization as the rendering DME provider for the order. Upon completion of the order processing, your organization will receive notification through the standard process in Fulfill.</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Is Synapse Health collaborating with prescribers to encourage the use of the Connect portal for order submissions?</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In partnership with</w:t>
      </w:r>
      <w:r w:rsidDel="00000000" w:rsidR="00000000" w:rsidRPr="00000000">
        <w:rPr>
          <w:rFonts w:ascii="Plus Jakarta Sans" w:cs="Plus Jakarta Sans" w:eastAsia="Plus Jakarta Sans" w:hAnsi="Plus Jakarta Sans"/>
          <w:i w:val="1"/>
          <w:color w:val="001a35"/>
          <w:sz w:val="22"/>
          <w:szCs w:val="22"/>
          <w:rtl w:val="0"/>
        </w:rPr>
        <w:t xml:space="preserve"> UnitedHealthcare</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 all prescribers affiliated with </w:t>
      </w:r>
      <w:r w:rsidDel="00000000" w:rsidR="00000000" w:rsidRPr="00000000">
        <w:rPr>
          <w:rFonts w:ascii="Plus Jakarta Sans" w:cs="Plus Jakarta Sans" w:eastAsia="Plus Jakarta Sans" w:hAnsi="Plus Jakarta Sans"/>
          <w:i w:val="1"/>
          <w:color w:val="001a35"/>
          <w:sz w:val="22"/>
          <w:szCs w:val="22"/>
          <w:rtl w:val="0"/>
        </w:rPr>
        <w:t xml:space="preserve">UnitedHealthcare </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have been notified and trained to utilize Synapse Health’s Connect portal to submit DME orders for their</w:t>
      </w:r>
      <w:r w:rsidDel="00000000" w:rsidR="00000000" w:rsidRPr="00000000">
        <w:rPr>
          <w:rFonts w:ascii="Plus Jakarta Sans" w:cs="Plus Jakarta Sans" w:eastAsia="Plus Jakarta Sans" w:hAnsi="Plus Jakarta Sans"/>
          <w:i w:val="1"/>
          <w:color w:val="001a35"/>
          <w:sz w:val="22"/>
          <w:szCs w:val="22"/>
          <w:rtl w:val="0"/>
        </w:rPr>
        <w:t xml:space="preserve"> UnitedHealthcare </w:t>
      </w: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 </w:t>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patients.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Plus Jakarta Sans" w:cs="Plus Jakarta Sans" w:eastAsia="Plus Jakarta Sans" w:hAnsi="Plus Jakarta Sans"/>
          <w:b w:val="1"/>
          <w:i w:val="0"/>
          <w:smallCaps w:val="0"/>
          <w:strike w:val="0"/>
          <w:color w:val="001a35"/>
          <w:sz w:val="22"/>
          <w:szCs w:val="22"/>
          <w:u w:val="none"/>
          <w:vertAlign w:val="baseline"/>
        </w:rPr>
      </w:pPr>
      <w:r w:rsidDel="00000000" w:rsidR="00000000" w:rsidRPr="00000000">
        <w:rPr>
          <w:rFonts w:ascii="Plus Jakarta Sans" w:cs="Plus Jakarta Sans" w:eastAsia="Plus Jakarta Sans" w:hAnsi="Plus Jakarta Sans"/>
          <w:b w:val="1"/>
          <w:i w:val="0"/>
          <w:smallCaps w:val="0"/>
          <w:strike w:val="0"/>
          <w:color w:val="001a35"/>
          <w:sz w:val="22"/>
          <w:szCs w:val="22"/>
          <w:u w:val="none"/>
          <w:vertAlign w:val="baseline"/>
          <w:rtl w:val="0"/>
        </w:rPr>
        <w:t xml:space="preserve">Who makes the determination which DME organization receives the order? </w:t>
        <w:br w:type="textWrapping"/>
      </w:r>
      <w:r w:rsidDel="00000000" w:rsidR="00000000" w:rsidRPr="00000000">
        <w:rPr>
          <w:rFonts w:ascii="Plus Jakarta Sans" w:cs="Plus Jakarta Sans" w:eastAsia="Plus Jakarta Sans" w:hAnsi="Plus Jakarta Sans"/>
          <w:b w:val="0"/>
          <w:i w:val="1"/>
          <w:smallCaps w:val="0"/>
          <w:strike w:val="0"/>
          <w:color w:val="001a35"/>
          <w:sz w:val="22"/>
          <w:szCs w:val="22"/>
          <w:u w:val="none"/>
          <w:vertAlign w:val="baseline"/>
          <w:rtl w:val="0"/>
        </w:rPr>
        <w:t xml:space="preserve">DME providers are assigned orders through a sophisticated algorithm that considers various factors such as geographic location, type of DME products, and the performance and rates of the DME provider. As a DME provider accepts more orders, their performance rate has the potential to increase. This data is regularly reviewed during quarterly meetings with Synapse Health.</w:t>
      </w:r>
      <w:r w:rsidDel="00000000" w:rsidR="00000000" w:rsidRPr="00000000">
        <w:rPr>
          <w:rtl w:val="0"/>
        </w:rPr>
      </w:r>
    </w:p>
    <w:sectPr>
      <w:type w:val="continuous"/>
      <w:pgSz w:h="15840" w:w="12240" w:orient="portrait"/>
      <w:pgMar w:bottom="1440" w:top="28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lus Jakarta Sans ExtraBold">
    <w:embedBold w:fontKey="{00000000-0000-0000-0000-000000000000}" r:id="rId1" w:subsetted="0"/>
    <w:embedBoldItalic w:fontKey="{00000000-0000-0000-0000-000000000000}" r:id="rId2" w:subsetted="0"/>
  </w:font>
  <w:font w:name="Plus Jakarta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lus Jakarta Sans Extra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lus Jakarta Sans" w:cs="Plus Jakarta Sans" w:eastAsia="Plus Jakarta Sans" w:hAnsi="Plus Jakarta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4280026</wp:posOffset>
          </wp:positionH>
          <wp:positionV relativeFrom="paragraph">
            <wp:posOffset>-1081312</wp:posOffset>
          </wp:positionV>
          <wp:extent cx="3180190" cy="2052749"/>
          <wp:effectExtent b="0" l="0" r="0" t="0"/>
          <wp:wrapNone/>
          <wp:docPr descr="Background pattern&#10;&#10;Description automatically generated with low confidence" id="1573334122" name="image2.png"/>
          <a:graphic>
            <a:graphicData uri="http://schemas.openxmlformats.org/drawingml/2006/picture">
              <pic:pic>
                <pic:nvPicPr>
                  <pic:cNvPr descr="Background pattern&#10;&#10;Description automatically generated with low confidence" id="0" name="image2.png"/>
                  <pic:cNvPicPr preferRelativeResize="0"/>
                </pic:nvPicPr>
                <pic:blipFill>
                  <a:blip r:embed="rId1"/>
                  <a:srcRect b="0" l="0" r="0" t="0"/>
                  <a:stretch>
                    <a:fillRect/>
                  </a:stretch>
                </pic:blipFill>
                <pic:spPr>
                  <a:xfrm>
                    <a:off x="0" y="0"/>
                    <a:ext cx="3180190" cy="2052749"/>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lus Jakarta Sans" w:cs="Plus Jakarta Sans" w:eastAsia="Plus Jakarta Sans" w:hAnsi="Plus Jakarta Sans"/>
        <w:b w:val="0"/>
        <w:i w:val="0"/>
        <w:smallCaps w:val="0"/>
        <w:strike w:val="0"/>
        <w:color w:val="808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Plus Jakarta Sans" w:cs="Plus Jakarta Sans" w:eastAsia="Plus Jakarta Sans" w:hAnsi="Plus Jakarta Sans"/>
        <w:b w:val="0"/>
        <w:i w:val="0"/>
        <w:smallCaps w:val="0"/>
        <w:strike w:val="0"/>
        <w:color w:val="808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Plus Jakarta Sans" w:cs="Plus Jakarta Sans" w:eastAsia="Plus Jakarta Sans" w:hAnsi="Plus Jakarta Sans"/>
        <w:b w:val="0"/>
        <w:i w:val="0"/>
        <w:smallCaps w:val="0"/>
        <w:strike w:val="0"/>
        <w:color w:val="000000"/>
        <w:sz w:val="20"/>
        <w:szCs w:val="20"/>
        <w:u w:val="none"/>
        <w:shd w:fill="auto" w:val="clear"/>
        <w:vertAlign w:val="baseline"/>
        <w:rtl w:val="0"/>
      </w:rPr>
      <w:t xml:space="preserve">888.336.9363 | synapsehealth.com | 3755 Chase Ave. Skokie, IL 60076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1522828</wp:posOffset>
          </wp:positionH>
          <wp:positionV relativeFrom="paragraph">
            <wp:posOffset>386863</wp:posOffset>
          </wp:positionV>
          <wp:extent cx="2897944" cy="562870"/>
          <wp:effectExtent b="0" l="0" r="0" t="0"/>
          <wp:wrapNone/>
          <wp:docPr descr="A picture containing icon&#10;&#10;Description automatically generated" id="1573334121" name="image1.png"/>
          <a:graphic>
            <a:graphicData uri="http://schemas.openxmlformats.org/drawingml/2006/picture">
              <pic:pic>
                <pic:nvPicPr>
                  <pic:cNvPr descr="A picture containing icon&#10;&#10;Description automatically generated" id="0" name="image1.png"/>
                  <pic:cNvPicPr preferRelativeResize="0"/>
                </pic:nvPicPr>
                <pic:blipFill>
                  <a:blip r:embed="rId1"/>
                  <a:srcRect b="0" l="0" r="0" t="0"/>
                  <a:stretch>
                    <a:fillRect/>
                  </a:stretch>
                </pic:blipFill>
                <pic:spPr>
                  <a:xfrm>
                    <a:off x="0" y="0"/>
                    <a:ext cx="2897944" cy="5628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9166B"/>
    <w:pPr>
      <w:tabs>
        <w:tab w:val="center" w:pos="4680"/>
        <w:tab w:val="right" w:pos="9360"/>
      </w:tabs>
    </w:pPr>
  </w:style>
  <w:style w:type="character" w:styleId="HeaderChar" w:customStyle="1">
    <w:name w:val="Header Char"/>
    <w:basedOn w:val="DefaultParagraphFont"/>
    <w:link w:val="Header"/>
    <w:uiPriority w:val="99"/>
    <w:rsid w:val="00D9166B"/>
  </w:style>
  <w:style w:type="paragraph" w:styleId="Footer">
    <w:name w:val="footer"/>
    <w:basedOn w:val="Normal"/>
    <w:link w:val="FooterChar"/>
    <w:uiPriority w:val="99"/>
    <w:unhideWhenUsed w:val="1"/>
    <w:rsid w:val="00D9166B"/>
    <w:pPr>
      <w:tabs>
        <w:tab w:val="center" w:pos="4680"/>
        <w:tab w:val="right" w:pos="9360"/>
      </w:tabs>
    </w:pPr>
  </w:style>
  <w:style w:type="character" w:styleId="FooterChar" w:customStyle="1">
    <w:name w:val="Footer Char"/>
    <w:basedOn w:val="DefaultParagraphFont"/>
    <w:link w:val="Footer"/>
    <w:uiPriority w:val="99"/>
    <w:rsid w:val="00D9166B"/>
  </w:style>
  <w:style w:type="paragraph" w:styleId="paragraph" w:customStyle="1">
    <w:name w:val="paragraph"/>
    <w:basedOn w:val="Normal"/>
    <w:rsid w:val="00F1417A"/>
    <w:pPr>
      <w:spacing w:after="100" w:afterAutospacing="1" w:before="100" w:beforeAutospacing="1"/>
    </w:pPr>
    <w:rPr>
      <w:rFonts w:ascii="Times New Roman" w:cs="Times New Roman" w:eastAsia="Times New Roman" w:hAnsi="Times New Roman"/>
      <w:kern w:val="0"/>
    </w:rPr>
  </w:style>
  <w:style w:type="character" w:styleId="normaltextrun" w:customStyle="1">
    <w:name w:val="normaltextrun"/>
    <w:basedOn w:val="DefaultParagraphFont"/>
    <w:rsid w:val="00F1417A"/>
  </w:style>
  <w:style w:type="character" w:styleId="eop" w:customStyle="1">
    <w:name w:val="eop"/>
    <w:basedOn w:val="DefaultParagraphFont"/>
    <w:rsid w:val="00F1417A"/>
  </w:style>
  <w:style w:type="character" w:styleId="Hyperlink">
    <w:name w:val="Hyperlink"/>
    <w:basedOn w:val="DefaultParagraphFont"/>
    <w:uiPriority w:val="99"/>
    <w:unhideWhenUsed w:val="1"/>
    <w:rsid w:val="00F1417A"/>
    <w:rPr>
      <w:color w:val="0563c1" w:themeColor="hyperlink"/>
      <w:u w:val="single"/>
    </w:rPr>
  </w:style>
  <w:style w:type="character" w:styleId="CommentReference">
    <w:name w:val="annotation reference"/>
    <w:basedOn w:val="DefaultParagraphFont"/>
    <w:uiPriority w:val="99"/>
    <w:semiHidden w:val="1"/>
    <w:unhideWhenUsed w:val="1"/>
    <w:rsid w:val="00924569"/>
    <w:rPr>
      <w:sz w:val="16"/>
      <w:szCs w:val="16"/>
    </w:rPr>
  </w:style>
  <w:style w:type="paragraph" w:styleId="CommentText">
    <w:name w:val="annotation text"/>
    <w:basedOn w:val="Normal"/>
    <w:link w:val="CommentTextChar"/>
    <w:uiPriority w:val="99"/>
    <w:unhideWhenUsed w:val="1"/>
    <w:rsid w:val="00924569"/>
    <w:rPr>
      <w:sz w:val="20"/>
      <w:szCs w:val="20"/>
    </w:rPr>
  </w:style>
  <w:style w:type="character" w:styleId="CommentTextChar" w:customStyle="1">
    <w:name w:val="Comment Text Char"/>
    <w:basedOn w:val="DefaultParagraphFont"/>
    <w:link w:val="CommentText"/>
    <w:uiPriority w:val="99"/>
    <w:rsid w:val="00924569"/>
    <w:rPr>
      <w:sz w:val="20"/>
      <w:szCs w:val="20"/>
    </w:rPr>
  </w:style>
  <w:style w:type="paragraph" w:styleId="CommentSubject">
    <w:name w:val="annotation subject"/>
    <w:basedOn w:val="CommentText"/>
    <w:next w:val="CommentText"/>
    <w:link w:val="CommentSubjectChar"/>
    <w:uiPriority w:val="99"/>
    <w:semiHidden w:val="1"/>
    <w:unhideWhenUsed w:val="1"/>
    <w:rsid w:val="00924569"/>
    <w:rPr>
      <w:b w:val="1"/>
      <w:bCs w:val="1"/>
    </w:rPr>
  </w:style>
  <w:style w:type="character" w:styleId="CommentSubjectChar" w:customStyle="1">
    <w:name w:val="Comment Subject Char"/>
    <w:basedOn w:val="CommentTextChar"/>
    <w:link w:val="CommentSubject"/>
    <w:uiPriority w:val="99"/>
    <w:semiHidden w:val="1"/>
    <w:rsid w:val="00924569"/>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PlusJakartaSansExtra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PlusJakartaSansExtraBold-bold.ttf"/><Relationship Id="rId2" Type="http://schemas.openxmlformats.org/officeDocument/2006/relationships/font" Target="fonts/PlusJakartaSansExtraBold-boldItalic.ttf"/><Relationship Id="rId3" Type="http://schemas.openxmlformats.org/officeDocument/2006/relationships/font" Target="fonts/PlusJakartaSans-regular.ttf"/><Relationship Id="rId4" Type="http://schemas.openxmlformats.org/officeDocument/2006/relationships/font" Target="fonts/PlusJakartaSans-bold.ttf"/><Relationship Id="rId9" Type="http://schemas.openxmlformats.org/officeDocument/2006/relationships/font" Target="fonts/PlusJakartaSansExtraLight-italic.ttf"/><Relationship Id="rId14" Type="http://schemas.openxmlformats.org/officeDocument/2006/relationships/font" Target="fonts/CenturyGothic-boldItalic.ttf"/><Relationship Id="rId5" Type="http://schemas.openxmlformats.org/officeDocument/2006/relationships/font" Target="fonts/PlusJakartaSans-italic.ttf"/><Relationship Id="rId6" Type="http://schemas.openxmlformats.org/officeDocument/2006/relationships/font" Target="fonts/PlusJakartaSans-boldItalic.ttf"/><Relationship Id="rId7" Type="http://schemas.openxmlformats.org/officeDocument/2006/relationships/font" Target="fonts/PlusJakartaSansExtraLight-regular.ttf"/><Relationship Id="rId8" Type="http://schemas.openxmlformats.org/officeDocument/2006/relationships/font" Target="fonts/PlusJakartaSansExtra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ff3Gu5Ko6SsqUIF/GtZ5dqRBg==">CgMxLjAyCGguZ2pkZ3hzOAByITFQLXFXM0Z2ZDZDUE42X0ctOVktaEZVc0dSMFdRcDBjbA==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2024-05-09T20:54:00Z</dcterms:created>
  <dc:creator>Savannah Abbott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564ab4-bd73-404b-8f45-c8ddfd0514ab_Enabled">
    <vt:lpwstr>true</vt:lpwstr>
  </property>
  <property fmtid="{D5CDD505-2E9C-101B-9397-08002B2CF9AE}" pid="3" name="MSIP_Label_b5564ab4-bd73-404b-8f45-c8ddfd0514ab_SetDate">
    <vt:lpwstr>2023-11-14T17:06:49Z</vt:lpwstr>
  </property>
  <property fmtid="{D5CDD505-2E9C-101B-9397-08002B2CF9AE}" pid="4" name="MSIP_Label_b5564ab4-bd73-404b-8f45-c8ddfd0514ab_Method">
    <vt:lpwstr>Standard</vt:lpwstr>
  </property>
  <property fmtid="{D5CDD505-2E9C-101B-9397-08002B2CF9AE}" pid="5" name="MSIP_Label_b5564ab4-bd73-404b-8f45-c8ddfd0514ab_Name">
    <vt:lpwstr>defa4170-0d19-0005-0004-bc88714345d2</vt:lpwstr>
  </property>
  <property fmtid="{D5CDD505-2E9C-101B-9397-08002B2CF9AE}" pid="6" name="MSIP_Label_b5564ab4-bd73-404b-8f45-c8ddfd0514ab_SiteId">
    <vt:lpwstr>7ef32054-2b43-4432-b465-3b165783d03a</vt:lpwstr>
  </property>
  <property fmtid="{D5CDD505-2E9C-101B-9397-08002B2CF9AE}" pid="7" name="MSIP_Label_b5564ab4-bd73-404b-8f45-c8ddfd0514ab_ActionId">
    <vt:lpwstr>10e0905c-562e-40c9-b0db-8a3c952e5534</vt:lpwstr>
  </property>
  <property fmtid="{D5CDD505-2E9C-101B-9397-08002B2CF9AE}" pid="8" name="MSIP_Label_b5564ab4-bd73-404b-8f45-c8ddfd0514ab_ContentBits">
    <vt:lpwstr>0</vt:lpwstr>
  </property>
  <property fmtid="{D5CDD505-2E9C-101B-9397-08002B2CF9AE}" pid="9" name="ContentTypeId">
    <vt:lpwstr>0x010100018284179C32194A8FC2683D8776AA94</vt:lpwstr>
  </property>
  <property fmtid="{D5CDD505-2E9C-101B-9397-08002B2CF9AE}" pid="10" name="MediaServiceImageTags">
    <vt:lpwstr/>
  </property>
</Properties>
</file>